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8479" w14:textId="003EC7C6" w:rsidR="007142CA" w:rsidRPr="00D552E0" w:rsidRDefault="001D1042" w:rsidP="00D552E0">
      <w:pPr>
        <w:pStyle w:val="KeinLeerraum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"http://www.f</w:instrText>
      </w:r>
      <w:r w:rsidRPr="00D552E0">
        <w:rPr>
          <w:rFonts w:cstheme="minorHAnsi"/>
        </w:rPr>
        <w:instrText>reie</w:instrText>
      </w:r>
      <w:r>
        <w:rPr>
          <w:rFonts w:cstheme="minorHAnsi"/>
        </w:rPr>
        <w:instrText>k</w:instrText>
      </w:r>
      <w:r w:rsidRPr="00D552E0">
        <w:rPr>
          <w:rFonts w:cstheme="minorHAnsi"/>
        </w:rPr>
        <w:instrText>inder.org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4577D2">
        <w:rPr>
          <w:rStyle w:val="Hyperlink"/>
          <w:rFonts w:cstheme="minorHAnsi"/>
        </w:rPr>
        <w:t>www.freiekinder.org</w:t>
      </w:r>
      <w:r>
        <w:rPr>
          <w:rFonts w:cstheme="minorHAnsi"/>
        </w:rPr>
        <w:fldChar w:fldCharType="end"/>
      </w:r>
      <w:r w:rsidR="005D2F50" w:rsidRPr="00D552E0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D2F50" w:rsidRPr="00D552E0">
        <w:rPr>
          <w:rFonts w:cstheme="minorHAnsi"/>
        </w:rPr>
        <w:tab/>
      </w:r>
      <w:r w:rsidR="005D2F50" w:rsidRPr="00D552E0">
        <w:rPr>
          <w:rFonts w:cstheme="minorHAnsi"/>
        </w:rPr>
        <w:tab/>
        <w:t xml:space="preserve">Konstanz, den </w:t>
      </w:r>
      <w:r w:rsidR="00A1115A">
        <w:rPr>
          <w:rFonts w:cstheme="minorHAnsi"/>
        </w:rPr>
        <w:t>31. Mai 2022</w:t>
      </w:r>
    </w:p>
    <w:p w14:paraId="6FCCF18C" w14:textId="0D6B606D" w:rsidR="00D552E0" w:rsidRDefault="00D552E0" w:rsidP="00D552E0">
      <w:pPr>
        <w:pStyle w:val="KeinLeerraum"/>
        <w:rPr>
          <w:rFonts w:cstheme="minorHAnsi"/>
        </w:rPr>
      </w:pPr>
    </w:p>
    <w:p w14:paraId="6B5EECE4" w14:textId="77777777" w:rsidR="00D552E0" w:rsidRPr="00D552E0" w:rsidRDefault="00D552E0" w:rsidP="00D552E0">
      <w:pPr>
        <w:pStyle w:val="KeinLeerraum"/>
        <w:rPr>
          <w:rFonts w:cstheme="minorHAnsi"/>
        </w:rPr>
      </w:pPr>
    </w:p>
    <w:p w14:paraId="665A6685" w14:textId="12660B52" w:rsidR="00D552E0" w:rsidRPr="00D552E0" w:rsidRDefault="005D2F50" w:rsidP="00D552E0">
      <w:pPr>
        <w:pStyle w:val="KeinLeerraum"/>
        <w:rPr>
          <w:rFonts w:cstheme="minorHAnsi"/>
        </w:rPr>
      </w:pPr>
      <w:r w:rsidRPr="00D552E0">
        <w:rPr>
          <w:rFonts w:cstheme="minorHAnsi"/>
        </w:rPr>
        <w:t>An die STIKO</w:t>
      </w:r>
    </w:p>
    <w:p w14:paraId="16BAAC05" w14:textId="20D102F6" w:rsidR="00D552E0" w:rsidRPr="00D552E0" w:rsidRDefault="00D552E0" w:rsidP="00D552E0">
      <w:pPr>
        <w:pStyle w:val="KeinLeerraum"/>
        <w:rPr>
          <w:rFonts w:cstheme="minorHAnsi"/>
        </w:rPr>
      </w:pPr>
      <w:r w:rsidRPr="00D552E0">
        <w:rPr>
          <w:rFonts w:cstheme="minorHAnsi"/>
        </w:rPr>
        <w:t>z. Hd. Herrn Prof. Dr. T. Mertens</w:t>
      </w:r>
    </w:p>
    <w:p w14:paraId="609B011B" w14:textId="77777777" w:rsidR="005D2F50" w:rsidRPr="00D552E0" w:rsidRDefault="005D2F50" w:rsidP="00D552E0">
      <w:pPr>
        <w:pStyle w:val="KeinLeerraum"/>
        <w:rPr>
          <w:rFonts w:cstheme="minorHAnsi"/>
          <w:color w:val="323232"/>
        </w:rPr>
      </w:pPr>
      <w:r w:rsidRPr="00D552E0">
        <w:rPr>
          <w:rFonts w:cstheme="minorHAnsi"/>
          <w:color w:val="323232"/>
        </w:rPr>
        <w:t>Robert Koch-Institut</w:t>
      </w:r>
      <w:r w:rsidRPr="00D552E0">
        <w:rPr>
          <w:rFonts w:cstheme="minorHAnsi"/>
          <w:color w:val="323232"/>
        </w:rPr>
        <w:br/>
        <w:t>Nordufer 20</w:t>
      </w:r>
      <w:r w:rsidRPr="00D552E0">
        <w:rPr>
          <w:rFonts w:cstheme="minorHAnsi"/>
          <w:color w:val="323232"/>
        </w:rPr>
        <w:br/>
        <w:t>13353 Berlin</w:t>
      </w:r>
    </w:p>
    <w:p w14:paraId="35864BDD" w14:textId="77777777" w:rsidR="005D2F50" w:rsidRPr="00D552E0" w:rsidRDefault="005D2F50" w:rsidP="00D552E0">
      <w:pPr>
        <w:pStyle w:val="KeinLeerraum"/>
        <w:rPr>
          <w:rFonts w:cstheme="minorHAnsi"/>
          <w:color w:val="323232"/>
        </w:rPr>
      </w:pPr>
      <w:r w:rsidRPr="00D552E0">
        <w:rPr>
          <w:rFonts w:cstheme="minorHAnsi"/>
          <w:color w:val="323232"/>
        </w:rPr>
        <w:t>Telefon: 030 18754 0</w:t>
      </w:r>
      <w:r w:rsidRPr="00D552E0">
        <w:rPr>
          <w:rFonts w:cstheme="minorHAnsi"/>
          <w:color w:val="323232"/>
        </w:rPr>
        <w:br/>
        <w:t>Fax: 030 18754 2328</w:t>
      </w:r>
    </w:p>
    <w:p w14:paraId="134E2358" w14:textId="77777777" w:rsidR="005D2F50" w:rsidRPr="00D552E0" w:rsidRDefault="005D2F50" w:rsidP="00D552E0">
      <w:pPr>
        <w:pStyle w:val="KeinLeerraum"/>
        <w:rPr>
          <w:rFonts w:cstheme="minorHAnsi"/>
        </w:rPr>
      </w:pPr>
    </w:p>
    <w:p w14:paraId="3954FF61" w14:textId="77777777" w:rsidR="007142CA" w:rsidRPr="00D552E0" w:rsidRDefault="007142CA" w:rsidP="00D552E0">
      <w:pPr>
        <w:pStyle w:val="KeinLeerraum"/>
        <w:rPr>
          <w:rFonts w:cstheme="minorHAnsi"/>
        </w:rPr>
      </w:pPr>
    </w:p>
    <w:p w14:paraId="2ECB94CE" w14:textId="0F61E32D" w:rsidR="007142CA" w:rsidRPr="00D552E0" w:rsidRDefault="007142CA" w:rsidP="00D552E0">
      <w:pPr>
        <w:pStyle w:val="KeinLeerraum"/>
        <w:rPr>
          <w:rFonts w:cstheme="minorHAnsi"/>
        </w:rPr>
      </w:pPr>
      <w:r w:rsidRPr="00D552E0">
        <w:rPr>
          <w:rFonts w:cstheme="minorHAnsi"/>
        </w:rPr>
        <w:t xml:space="preserve">Sehr geehrter Herr Prof. Dr. Thomas Mertens, </w:t>
      </w:r>
    </w:p>
    <w:p w14:paraId="7D4B21E1" w14:textId="5318775B" w:rsidR="00AE76B5" w:rsidRPr="00D552E0" w:rsidRDefault="00AE76B5" w:rsidP="00D552E0">
      <w:pPr>
        <w:pStyle w:val="KeinLeerraum"/>
        <w:rPr>
          <w:rFonts w:cstheme="minorHAnsi"/>
        </w:rPr>
      </w:pPr>
    </w:p>
    <w:p w14:paraId="4F1BA2D1" w14:textId="1A1FF06D" w:rsidR="005440A3" w:rsidRPr="00D552E0" w:rsidRDefault="00D552E0" w:rsidP="00D552E0">
      <w:pPr>
        <w:pStyle w:val="KeinLeerraum"/>
        <w:rPr>
          <w:rFonts w:cstheme="minorHAnsi"/>
        </w:rPr>
      </w:pPr>
      <w:r>
        <w:rPr>
          <w:rFonts w:cstheme="minorHAnsi"/>
        </w:rPr>
        <w:t xml:space="preserve">Der </w:t>
      </w:r>
      <w:r w:rsidR="005440A3" w:rsidRPr="00D552E0">
        <w:rPr>
          <w:rFonts w:cstheme="minorHAnsi"/>
        </w:rPr>
        <w:t xml:space="preserve">Pressemitteilung des RKI </w:t>
      </w:r>
      <w:r>
        <w:rPr>
          <w:rFonts w:cstheme="minorHAnsi"/>
        </w:rPr>
        <w:t xml:space="preserve">vom 24. Mai 2022 haben wir entnommen , dass Sie bzw. die STIKO 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</w:t>
      </w:r>
      <w:r w:rsidR="00013D8D" w:rsidRPr="00D552E0">
        <w:rPr>
          <w:rFonts w:eastAsia="Times New Roman" w:cstheme="minorHAnsi"/>
          <w:b/>
          <w:bCs/>
          <w:color w:val="323232"/>
          <w:shd w:val="clear" w:color="auto" w:fill="FFFFFF"/>
          <w:lang w:eastAsia="de-DE"/>
        </w:rPr>
        <w:t>Kindern ohne Vorerkrankungen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im Alter von 5 bis 11 Jahren zunächst eine Impfstoffdosis, vorzugsweise mit </w:t>
      </w:r>
      <w:proofErr w:type="spellStart"/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Comirnaty</w:t>
      </w:r>
      <w:proofErr w:type="spellEnd"/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(10 µg)</w:t>
      </w:r>
      <w:r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empfehlen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. Die Verwendung von </w:t>
      </w:r>
      <w:proofErr w:type="spellStart"/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Spikevax</w:t>
      </w:r>
      <w:proofErr w:type="spellEnd"/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(50 µg) </w:t>
      </w:r>
      <w:r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sei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für 6- bis 11-jährige Kinder laut Zulassung ebenfalls möglich. Diese Impfempfehlung w</w:t>
      </w:r>
      <w:r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erde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</w:t>
      </w:r>
      <w:r w:rsidR="00013D8D" w:rsidRPr="00E04153">
        <w:rPr>
          <w:rFonts w:eastAsia="Times New Roman" w:cstheme="minorHAnsi"/>
          <w:b/>
          <w:bCs/>
          <w:color w:val="323232"/>
          <w:shd w:val="clear" w:color="auto" w:fill="FFFFFF"/>
          <w:lang w:eastAsia="de-DE"/>
        </w:rPr>
        <w:t>vorsorglich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 xml:space="preserve"> ausgesprochen, weil ein erneuter Anstieg von SARS-CoV-2 Infektionen im kommenden Herbst bzw. Winter zu erwarten </w:t>
      </w:r>
      <w:r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sei</w:t>
      </w:r>
      <w:r w:rsidR="00013D8D" w:rsidRPr="00D552E0">
        <w:rPr>
          <w:rFonts w:eastAsia="Times New Roman" w:cstheme="minorHAnsi"/>
          <w:color w:val="323232"/>
          <w:shd w:val="clear" w:color="auto" w:fill="FFFFFF"/>
          <w:lang w:eastAsia="de-DE"/>
        </w:rPr>
        <w:t>. </w:t>
      </w:r>
    </w:p>
    <w:p w14:paraId="04915091" w14:textId="38195C01" w:rsidR="005440A3" w:rsidRPr="00D552E0" w:rsidRDefault="006C18D1" w:rsidP="00D552E0">
      <w:pPr>
        <w:pStyle w:val="KeinLeerraum"/>
        <w:rPr>
          <w:rFonts w:eastAsia="Times New Roman" w:cstheme="minorHAnsi"/>
          <w:sz w:val="16"/>
          <w:szCs w:val="16"/>
          <w:lang w:eastAsia="de-DE"/>
        </w:rPr>
      </w:pPr>
      <w:hyperlink r:id="rId5" w:anchor=":~:text=Zu%201%3A%20Die%20STIKO%20empfiehlt,Kinder%20laut%20Zulassung%20ebenfalls%20m%C3%B6glich" w:history="1">
        <w:r w:rsidR="005440A3" w:rsidRPr="00D552E0">
          <w:rPr>
            <w:rStyle w:val="Hyperlink"/>
            <w:rFonts w:eastAsia="Times New Roman" w:cstheme="minorHAnsi"/>
            <w:sz w:val="16"/>
            <w:szCs w:val="16"/>
            <w:lang w:eastAsia="de-DE"/>
          </w:rPr>
          <w:t>https://www.rki.de/DE/Content/Kommissionen/STIKO/Empfehlungen/PM_2022-05-24.html#:~:text=Zu%201%3A%20Die%20STIKO%20empfiehlt,Kinder%20laut%20Zulassung%20ebenfalls%20m%C3%B6glich</w:t>
        </w:r>
      </w:hyperlink>
      <w:r w:rsidR="00013D8D" w:rsidRPr="00D552E0">
        <w:rPr>
          <w:rFonts w:eastAsia="Times New Roman" w:cstheme="minorHAnsi"/>
          <w:sz w:val="16"/>
          <w:szCs w:val="16"/>
          <w:lang w:eastAsia="de-DE"/>
        </w:rPr>
        <w:t>.</w:t>
      </w:r>
    </w:p>
    <w:p w14:paraId="2657411F" w14:textId="394CACA5" w:rsidR="00013D8D" w:rsidRPr="00D552E0" w:rsidRDefault="00013D8D" w:rsidP="00D552E0">
      <w:pPr>
        <w:pStyle w:val="KeinLeerraum"/>
        <w:rPr>
          <w:rFonts w:eastAsia="Times New Roman" w:cstheme="minorHAnsi"/>
          <w:lang w:eastAsia="de-DE"/>
        </w:rPr>
      </w:pPr>
      <w:r w:rsidRPr="00D552E0">
        <w:rPr>
          <w:rFonts w:eastAsia="Times New Roman" w:cstheme="minorHAnsi"/>
          <w:lang w:eastAsia="de-DE"/>
        </w:rPr>
        <w:t xml:space="preserve"> </w:t>
      </w:r>
    </w:p>
    <w:p w14:paraId="4504BFAD" w14:textId="50BE68D7" w:rsidR="005440A3" w:rsidRPr="00D552E0" w:rsidRDefault="00837075" w:rsidP="00D552E0">
      <w:pPr>
        <w:pStyle w:val="KeinLeerraum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Auf der Suche nach einer wissenschaftlichen Begründung für diese Empfehlung haben wir in Ihrem  „</w:t>
      </w:r>
      <w:r w:rsidR="005440A3" w:rsidRPr="00D552E0">
        <w:rPr>
          <w:rFonts w:eastAsia="Times New Roman" w:cstheme="minorHAnsi"/>
          <w:lang w:eastAsia="de-DE"/>
        </w:rPr>
        <w:t>Epidemiologische</w:t>
      </w:r>
      <w:r>
        <w:rPr>
          <w:rFonts w:eastAsia="Times New Roman" w:cstheme="minorHAnsi"/>
          <w:lang w:eastAsia="de-DE"/>
        </w:rPr>
        <w:t>n</w:t>
      </w:r>
      <w:r w:rsidR="005440A3" w:rsidRPr="00D552E0">
        <w:rPr>
          <w:rFonts w:eastAsia="Times New Roman" w:cstheme="minorHAnsi"/>
          <w:lang w:eastAsia="de-DE"/>
        </w:rPr>
        <w:t xml:space="preserve"> Bulletin 21/2022</w:t>
      </w:r>
      <w:r>
        <w:rPr>
          <w:rFonts w:eastAsia="Times New Roman" w:cstheme="minorHAnsi"/>
          <w:lang w:eastAsia="de-DE"/>
        </w:rPr>
        <w:t>“</w:t>
      </w:r>
      <w:r w:rsidR="005440A3" w:rsidRPr="00D552E0">
        <w:rPr>
          <w:rFonts w:eastAsia="Times New Roman" w:cstheme="minorHAnsi"/>
          <w:lang w:eastAsia="de-DE"/>
        </w:rPr>
        <w:t xml:space="preserve">  vom 25. Mai 2022 </w:t>
      </w:r>
      <w:r>
        <w:rPr>
          <w:rFonts w:eastAsia="Times New Roman" w:cstheme="minorHAnsi"/>
          <w:lang w:eastAsia="de-DE"/>
        </w:rPr>
        <w:t xml:space="preserve">auf den Seiten </w:t>
      </w:r>
      <w:r w:rsidR="005440A3" w:rsidRPr="00D552E0">
        <w:rPr>
          <w:rFonts w:eastAsia="Times New Roman" w:cstheme="minorHAnsi"/>
          <w:lang w:eastAsia="de-DE"/>
        </w:rPr>
        <w:t xml:space="preserve"> 17 und 18</w:t>
      </w:r>
      <w:r>
        <w:rPr>
          <w:rFonts w:eastAsia="Times New Roman" w:cstheme="minorHAnsi"/>
          <w:lang w:eastAsia="de-DE"/>
        </w:rPr>
        <w:t xml:space="preserve"> vergeblich nach den neuesten Studien gesucht, die so eine Empfehlung rechtfertigen könnte</w:t>
      </w:r>
      <w:r w:rsidR="00A1115A">
        <w:rPr>
          <w:rFonts w:eastAsia="Times New Roman" w:cstheme="minorHAnsi"/>
          <w:lang w:eastAsia="de-DE"/>
        </w:rPr>
        <w:t>n</w:t>
      </w:r>
      <w:r>
        <w:rPr>
          <w:rFonts w:eastAsia="Times New Roman" w:cstheme="minorHAnsi"/>
          <w:lang w:eastAsia="de-DE"/>
        </w:rPr>
        <w:t xml:space="preserve">. </w:t>
      </w:r>
    </w:p>
    <w:p w14:paraId="0DDBB0A2" w14:textId="7031F341" w:rsidR="00013D8D" w:rsidRDefault="006C18D1" w:rsidP="00D552E0">
      <w:pPr>
        <w:pStyle w:val="KeinLeerraum"/>
        <w:rPr>
          <w:rFonts w:cstheme="minorHAnsi"/>
          <w:sz w:val="16"/>
          <w:szCs w:val="16"/>
        </w:rPr>
      </w:pPr>
      <w:hyperlink r:id="rId6" w:history="1">
        <w:r w:rsidR="005440A3" w:rsidRPr="00837075">
          <w:rPr>
            <w:rStyle w:val="Hyperlink"/>
            <w:rFonts w:cstheme="minorHAnsi"/>
            <w:sz w:val="16"/>
            <w:szCs w:val="16"/>
          </w:rPr>
          <w:t>https://www.rki.de/DE/Content/Infekt/EpidBull/Archiv/2022/Ausgaben/21_22.pdf?__blob=publicationFile</w:t>
        </w:r>
      </w:hyperlink>
    </w:p>
    <w:p w14:paraId="474DEB7D" w14:textId="65266387" w:rsidR="00837075" w:rsidRPr="006B2C3F" w:rsidRDefault="00837075" w:rsidP="000C18BB">
      <w:pPr>
        <w:pStyle w:val="KeinLeerraum"/>
        <w:rPr>
          <w:color w:val="000000" w:themeColor="text1"/>
        </w:rPr>
      </w:pPr>
      <w:r>
        <w:t xml:space="preserve">Stattdessen findet sich dort </w:t>
      </w:r>
      <w:r w:rsidR="006B2C3F">
        <w:t xml:space="preserve"> unter der </w:t>
      </w:r>
      <w:r w:rsidR="006B2C3F" w:rsidRPr="006B2C3F">
        <w:rPr>
          <w:color w:val="000000" w:themeColor="text1"/>
        </w:rPr>
        <w:t>Überschrift „</w:t>
      </w:r>
      <w:r w:rsidR="006B2C3F" w:rsidRPr="006B2C3F">
        <w:rPr>
          <w:rFonts w:cstheme="minorHAnsi"/>
          <w:color w:val="000000" w:themeColor="text1"/>
        </w:rPr>
        <w:t xml:space="preserve">10. </w:t>
      </w:r>
      <w:proofErr w:type="spellStart"/>
      <w:r w:rsidR="006B2C3F" w:rsidRPr="006B2C3F">
        <w:rPr>
          <w:rFonts w:cstheme="minorHAnsi"/>
          <w:color w:val="000000" w:themeColor="text1"/>
        </w:rPr>
        <w:t>Übersicht</w:t>
      </w:r>
      <w:proofErr w:type="spellEnd"/>
      <w:r w:rsidR="006B2C3F" w:rsidRPr="006B2C3F">
        <w:rPr>
          <w:rFonts w:cstheme="minorHAnsi"/>
          <w:color w:val="000000" w:themeColor="text1"/>
        </w:rPr>
        <w:t xml:space="preserve"> zu den wissenschaftlichen </w:t>
      </w:r>
      <w:proofErr w:type="spellStart"/>
      <w:r w:rsidR="006B2C3F" w:rsidRPr="006B2C3F">
        <w:rPr>
          <w:rFonts w:cstheme="minorHAnsi"/>
          <w:color w:val="000000" w:themeColor="text1"/>
        </w:rPr>
        <w:t>Begründungen</w:t>
      </w:r>
      <w:proofErr w:type="spellEnd"/>
      <w:r w:rsidR="006B2C3F" w:rsidRPr="006B2C3F">
        <w:rPr>
          <w:rFonts w:cstheme="minorHAnsi"/>
          <w:color w:val="000000" w:themeColor="text1"/>
        </w:rPr>
        <w:t xml:space="preserve"> </w:t>
      </w:r>
      <w:proofErr w:type="spellStart"/>
      <w:r w:rsidR="006B2C3F" w:rsidRPr="006B2C3F">
        <w:rPr>
          <w:rFonts w:cstheme="minorHAnsi"/>
          <w:color w:val="000000" w:themeColor="text1"/>
        </w:rPr>
        <w:t>für</w:t>
      </w:r>
      <w:proofErr w:type="spellEnd"/>
      <w:r w:rsidR="006B2C3F" w:rsidRPr="006B2C3F">
        <w:rPr>
          <w:rFonts w:cstheme="minorHAnsi"/>
          <w:color w:val="000000" w:themeColor="text1"/>
        </w:rPr>
        <w:t xml:space="preserve"> die COVID-19- Impfempfehlungen der STIKO“</w:t>
      </w:r>
      <w:r w:rsidR="006B2C3F">
        <w:rPr>
          <w:color w:val="000000" w:themeColor="text1"/>
        </w:rPr>
        <w:t xml:space="preserve"> </w:t>
      </w:r>
      <w:r>
        <w:t xml:space="preserve">nur eine lange Liste </w:t>
      </w:r>
      <w:r w:rsidR="0091649E">
        <w:t>von</w:t>
      </w:r>
      <w:r>
        <w:t xml:space="preserve"> Verweise</w:t>
      </w:r>
      <w:r w:rsidR="0091649E">
        <w:t>n</w:t>
      </w:r>
      <w:r>
        <w:t xml:space="preserve"> auf Ihre eigenen </w:t>
      </w:r>
      <w:r w:rsidR="006B2C3F">
        <w:t>„</w:t>
      </w:r>
      <w:r w:rsidR="0091649E">
        <w:t>Impf</w:t>
      </w:r>
      <w:r w:rsidR="006B2C3F">
        <w:rPr>
          <w:rFonts w:cstheme="minorHAnsi"/>
        </w:rPr>
        <w:t>e</w:t>
      </w:r>
      <w:r w:rsidRPr="000C18BB">
        <w:rPr>
          <w:rFonts w:cstheme="minorHAnsi"/>
        </w:rPr>
        <w:t>mpfehlungen</w:t>
      </w:r>
      <w:r w:rsidR="006B2C3F">
        <w:rPr>
          <w:rFonts w:cstheme="minorHAnsi"/>
        </w:rPr>
        <w:t>“</w:t>
      </w:r>
      <w:r w:rsidRPr="000C18BB">
        <w:rPr>
          <w:rFonts w:cstheme="minorHAnsi"/>
        </w:rPr>
        <w:t xml:space="preserve"> in der Vergangenheit. </w:t>
      </w:r>
    </w:p>
    <w:p w14:paraId="20DDA5FA" w14:textId="723521D0" w:rsidR="000C18BB" w:rsidRDefault="000C18BB" w:rsidP="000C18BB">
      <w:pPr>
        <w:pStyle w:val="KeinLeerraum"/>
        <w:rPr>
          <w:rFonts w:cstheme="minorHAnsi"/>
        </w:rPr>
      </w:pPr>
    </w:p>
    <w:p w14:paraId="7B5F1907" w14:textId="76ACFE1D" w:rsidR="000C18BB" w:rsidRPr="00E862EC" w:rsidRDefault="006B2C3F" w:rsidP="000C18BB">
      <w:pPr>
        <w:pStyle w:val="KeinLeerraum"/>
        <w:rPr>
          <w:rFonts w:cstheme="minorHAnsi"/>
        </w:rPr>
      </w:pPr>
      <w:r>
        <w:rPr>
          <w:rFonts w:cstheme="minorHAnsi"/>
        </w:rPr>
        <w:t>In Bezug auf die Sicherheit der von Ihnen empfohlenen Substanzen kommen Sie a</w:t>
      </w:r>
      <w:r w:rsidR="00E862EC" w:rsidRPr="00E862EC">
        <w:rPr>
          <w:rFonts w:cstheme="minorHAnsi"/>
        </w:rPr>
        <w:t xml:space="preserve">uf S. 37 dieses Bullteins zu folgendem Schluss: </w:t>
      </w:r>
    </w:p>
    <w:p w14:paraId="33315815" w14:textId="56574C41" w:rsidR="000C18BB" w:rsidRPr="00E862EC" w:rsidRDefault="000C18BB" w:rsidP="000C18BB">
      <w:pPr>
        <w:pStyle w:val="KeinLeerraum"/>
        <w:rPr>
          <w:rFonts w:cstheme="minorHAnsi"/>
        </w:rPr>
      </w:pPr>
      <w:r w:rsidRPr="00E04153">
        <w:rPr>
          <w:rFonts w:cstheme="minorHAnsi"/>
          <w:color w:val="000000" w:themeColor="text1"/>
        </w:rPr>
        <w:t>„4.4 Fazit zur Sicherheit der COVID-19-Impfung bei 5 – 11-jährigen Kindern</w:t>
      </w:r>
      <w:r w:rsidRPr="00E862EC">
        <w:rPr>
          <w:rFonts w:cstheme="minorHAnsi"/>
          <w:b/>
          <w:bCs/>
          <w:color w:val="000000" w:themeColor="text1"/>
        </w:rPr>
        <w:br/>
      </w:r>
      <w:r w:rsidRPr="00E862EC">
        <w:rPr>
          <w:rFonts w:cstheme="minorHAnsi"/>
          <w:color w:val="000000" w:themeColor="text1"/>
        </w:rPr>
        <w:t xml:space="preserve">Zusammenfassend </w:t>
      </w:r>
      <w:proofErr w:type="spellStart"/>
      <w:r w:rsidRPr="00E862EC">
        <w:rPr>
          <w:rFonts w:cstheme="minorHAnsi"/>
          <w:color w:val="000000" w:themeColor="text1"/>
        </w:rPr>
        <w:t>lässt</w:t>
      </w:r>
      <w:proofErr w:type="spellEnd"/>
      <w:r w:rsidRPr="00E862EC">
        <w:rPr>
          <w:rFonts w:cstheme="minorHAnsi"/>
          <w:color w:val="000000" w:themeColor="text1"/>
        </w:rPr>
        <w:t xml:space="preserve"> sich aus den Sicherheitsdaten zu </w:t>
      </w:r>
      <w:proofErr w:type="spellStart"/>
      <w:r w:rsidRPr="00E862EC">
        <w:rPr>
          <w:rFonts w:cstheme="minorHAnsi"/>
          <w:color w:val="000000" w:themeColor="text1"/>
        </w:rPr>
        <w:t>Comirnaty</w:t>
      </w:r>
      <w:proofErr w:type="spellEnd"/>
      <w:r w:rsidRPr="00E862EC">
        <w:rPr>
          <w:rFonts w:cstheme="minorHAnsi"/>
          <w:color w:val="000000" w:themeColor="text1"/>
        </w:rPr>
        <w:t xml:space="preserve"> ein wesentlich geringeres </w:t>
      </w:r>
      <w:proofErr w:type="spellStart"/>
      <w:r w:rsidRPr="00E04153">
        <w:rPr>
          <w:rFonts w:cstheme="minorHAnsi"/>
          <w:b/>
          <w:bCs/>
          <w:color w:val="000000" w:themeColor="text1"/>
        </w:rPr>
        <w:t>Myokarditisrisiko</w:t>
      </w:r>
      <w:proofErr w:type="spellEnd"/>
      <w:r w:rsidRPr="00E862EC">
        <w:rPr>
          <w:rFonts w:cstheme="minorHAnsi"/>
          <w:color w:val="000000" w:themeColor="text1"/>
        </w:rPr>
        <w:t xml:space="preserve"> in der Altersgruppe der 5 – 11-Jährigen als bei den </w:t>
      </w:r>
      <w:r w:rsidRPr="00E862EC">
        <w:rPr>
          <w:rFonts w:cstheme="minorHAnsi"/>
        </w:rPr>
        <w:t>Jugendlichen und jungen Erwachsenen ableiten.</w:t>
      </w:r>
      <w:r w:rsidRPr="00E862EC">
        <w:rPr>
          <w:rFonts w:cstheme="minorHAnsi"/>
          <w:b/>
          <w:bCs/>
          <w:color w:val="0070BA"/>
          <w:position w:val="6"/>
        </w:rPr>
        <w:t xml:space="preserve"> </w:t>
      </w:r>
      <w:r w:rsidRPr="00E862EC">
        <w:rPr>
          <w:rFonts w:cstheme="minorHAnsi"/>
        </w:rPr>
        <w:t xml:space="preserve">Durch einen </w:t>
      </w:r>
      <w:proofErr w:type="spellStart"/>
      <w:r w:rsidRPr="00E862EC">
        <w:rPr>
          <w:rFonts w:cstheme="minorHAnsi"/>
        </w:rPr>
        <w:t>längeren</w:t>
      </w:r>
      <w:proofErr w:type="spellEnd"/>
      <w:r w:rsidRPr="00E862EC">
        <w:rPr>
          <w:rFonts w:cstheme="minorHAnsi"/>
        </w:rPr>
        <w:t xml:space="preserve"> Impfabstand konnte das Risiko weiter reduziert werden. Basierend auf den vorgestellten Daten wurden </w:t>
      </w:r>
      <w:proofErr w:type="spellStart"/>
      <w:r w:rsidRPr="00E862EC">
        <w:rPr>
          <w:rFonts w:cstheme="minorHAnsi"/>
        </w:rPr>
        <w:t>für</w:t>
      </w:r>
      <w:proofErr w:type="spellEnd"/>
      <w:r w:rsidRPr="00E862EC">
        <w:rPr>
          <w:rFonts w:cstheme="minorHAnsi"/>
        </w:rPr>
        <w:t xml:space="preserve"> </w:t>
      </w:r>
      <w:proofErr w:type="spellStart"/>
      <w:r w:rsidRPr="00E862EC">
        <w:rPr>
          <w:rFonts w:cstheme="minorHAnsi"/>
        </w:rPr>
        <w:t>Comirnaty</w:t>
      </w:r>
      <w:proofErr w:type="spellEnd"/>
      <w:r w:rsidRPr="00E862EC">
        <w:rPr>
          <w:rFonts w:cstheme="minorHAnsi"/>
        </w:rPr>
        <w:t xml:space="preserve"> keine neuen Sicherheitsbedenken identifiziert. </w:t>
      </w:r>
      <w:proofErr w:type="spellStart"/>
      <w:r w:rsidRPr="00E862EC">
        <w:rPr>
          <w:rFonts w:cstheme="minorHAnsi"/>
        </w:rPr>
        <w:t>Für</w:t>
      </w:r>
      <w:proofErr w:type="spellEnd"/>
      <w:r w:rsidRPr="00E862EC">
        <w:rPr>
          <w:rFonts w:cstheme="minorHAnsi"/>
        </w:rPr>
        <w:t xml:space="preserve"> </w:t>
      </w:r>
      <w:proofErr w:type="spellStart"/>
      <w:r w:rsidRPr="00E862EC">
        <w:rPr>
          <w:rFonts w:cstheme="minorHAnsi"/>
        </w:rPr>
        <w:t>Spikevax</w:t>
      </w:r>
      <w:proofErr w:type="spellEnd"/>
      <w:r w:rsidRPr="00E862EC">
        <w:rPr>
          <w:rFonts w:cstheme="minorHAnsi"/>
        </w:rPr>
        <w:t xml:space="preserve"> sind </w:t>
      </w:r>
      <w:r w:rsidRPr="00E04153">
        <w:rPr>
          <w:rFonts w:cstheme="minorHAnsi"/>
          <w:b/>
          <w:bCs/>
        </w:rPr>
        <w:t>noch keine anwendungsbasierten Daten vorhanden</w:t>
      </w:r>
      <w:r w:rsidRPr="00E862EC">
        <w:rPr>
          <w:rFonts w:cstheme="minorHAnsi"/>
        </w:rPr>
        <w:t xml:space="preserve"> und eine </w:t>
      </w:r>
      <w:r w:rsidRPr="00E04153">
        <w:rPr>
          <w:rFonts w:cstheme="minorHAnsi"/>
          <w:b/>
          <w:bCs/>
        </w:rPr>
        <w:t xml:space="preserve">abschließende </w:t>
      </w:r>
      <w:proofErr w:type="spellStart"/>
      <w:r w:rsidRPr="00E04153">
        <w:rPr>
          <w:rFonts w:cstheme="minorHAnsi"/>
          <w:b/>
          <w:bCs/>
        </w:rPr>
        <w:t>Einschätzung</w:t>
      </w:r>
      <w:proofErr w:type="spellEnd"/>
      <w:r w:rsidRPr="00E04153">
        <w:rPr>
          <w:rFonts w:cstheme="minorHAnsi"/>
          <w:b/>
          <w:bCs/>
        </w:rPr>
        <w:t xml:space="preserve"> der Sicherheit demnach noch nicht </w:t>
      </w:r>
      <w:proofErr w:type="spellStart"/>
      <w:r w:rsidRPr="00E04153">
        <w:rPr>
          <w:rFonts w:cstheme="minorHAnsi"/>
          <w:b/>
          <w:bCs/>
        </w:rPr>
        <w:t>möglich</w:t>
      </w:r>
      <w:proofErr w:type="spellEnd"/>
      <w:r w:rsidRPr="00E04153">
        <w:rPr>
          <w:rFonts w:cstheme="minorHAnsi"/>
          <w:b/>
          <w:bCs/>
        </w:rPr>
        <w:t>.</w:t>
      </w:r>
      <w:r w:rsidRPr="00E862EC">
        <w:rPr>
          <w:rFonts w:cstheme="minorHAnsi"/>
        </w:rPr>
        <w:t>“</w:t>
      </w:r>
    </w:p>
    <w:p w14:paraId="5EC8F73C" w14:textId="5EC196C1" w:rsidR="000C18BB" w:rsidRPr="00E862EC" w:rsidRDefault="000C18BB" w:rsidP="00D552E0">
      <w:pPr>
        <w:pStyle w:val="KeinLeerraum"/>
        <w:rPr>
          <w:rFonts w:cstheme="minorHAnsi"/>
        </w:rPr>
      </w:pPr>
    </w:p>
    <w:p w14:paraId="03D89F13" w14:textId="30355069" w:rsidR="00E862EC" w:rsidRPr="006B2C3F" w:rsidRDefault="00E862EC" w:rsidP="00D552E0">
      <w:pPr>
        <w:pStyle w:val="KeinLeerraum"/>
        <w:rPr>
          <w:rFonts w:cstheme="minorHAnsi"/>
          <w:b/>
          <w:bCs/>
        </w:rPr>
      </w:pPr>
      <w:r w:rsidRPr="006B2C3F">
        <w:rPr>
          <w:rFonts w:cstheme="minorHAnsi"/>
          <w:b/>
          <w:bCs/>
        </w:rPr>
        <w:t xml:space="preserve">Wir fragen uns </w:t>
      </w:r>
      <w:r w:rsidRPr="006C18D1">
        <w:rPr>
          <w:rFonts w:cstheme="minorHAnsi"/>
          <w:b/>
          <w:bCs/>
          <w:u w:val="single"/>
        </w:rPr>
        <w:t xml:space="preserve">und </w:t>
      </w:r>
      <w:r w:rsidR="006C18D1">
        <w:rPr>
          <w:rFonts w:cstheme="minorHAnsi"/>
          <w:b/>
          <w:bCs/>
          <w:u w:val="single"/>
        </w:rPr>
        <w:t xml:space="preserve">vor allem </w:t>
      </w:r>
      <w:r w:rsidRPr="006C18D1">
        <w:rPr>
          <w:rFonts w:cstheme="minorHAnsi"/>
          <w:b/>
          <w:bCs/>
          <w:u w:val="single"/>
        </w:rPr>
        <w:t>Sie</w:t>
      </w:r>
      <w:r w:rsidRPr="006B2C3F">
        <w:rPr>
          <w:rFonts w:cstheme="minorHAnsi"/>
          <w:b/>
          <w:bCs/>
        </w:rPr>
        <w:t xml:space="preserve">, wie Sie zu </w:t>
      </w:r>
      <w:r w:rsidR="006B2C3F" w:rsidRPr="006B2C3F">
        <w:rPr>
          <w:rFonts w:cstheme="minorHAnsi"/>
          <w:b/>
          <w:bCs/>
        </w:rPr>
        <w:t>Ihrer</w:t>
      </w:r>
      <w:r w:rsidRPr="006B2C3F">
        <w:rPr>
          <w:rFonts w:cstheme="minorHAnsi"/>
          <w:b/>
          <w:bCs/>
        </w:rPr>
        <w:t xml:space="preserve"> </w:t>
      </w:r>
      <w:r w:rsidR="006B2C3F" w:rsidRPr="006B2C3F">
        <w:rPr>
          <w:rFonts w:cstheme="minorHAnsi"/>
          <w:b/>
          <w:bCs/>
        </w:rPr>
        <w:t>„</w:t>
      </w:r>
      <w:r w:rsidRPr="006B2C3F">
        <w:rPr>
          <w:rFonts w:cstheme="minorHAnsi"/>
          <w:b/>
          <w:bCs/>
        </w:rPr>
        <w:t>Impfempfehlung</w:t>
      </w:r>
      <w:r w:rsidR="006B2C3F" w:rsidRPr="006B2C3F">
        <w:rPr>
          <w:rFonts w:cstheme="minorHAnsi"/>
          <w:b/>
          <w:bCs/>
        </w:rPr>
        <w:t>“</w:t>
      </w:r>
      <w:r w:rsidRPr="006B2C3F">
        <w:rPr>
          <w:rFonts w:cstheme="minorHAnsi"/>
          <w:b/>
          <w:bCs/>
        </w:rPr>
        <w:t xml:space="preserve"> kommen. </w:t>
      </w:r>
    </w:p>
    <w:p w14:paraId="48C6456D" w14:textId="2926E03A" w:rsidR="00E862EC" w:rsidRPr="00902B19" w:rsidRDefault="0091649E" w:rsidP="00902B19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Inzwischen ist </w:t>
      </w:r>
      <w:r w:rsidR="00A1115A">
        <w:rPr>
          <w:rFonts w:cstheme="minorHAnsi"/>
        </w:rPr>
        <w:t>hinlänglich</w:t>
      </w:r>
      <w:r>
        <w:rPr>
          <w:rFonts w:cstheme="minorHAnsi"/>
        </w:rPr>
        <w:t xml:space="preserve"> bekannt, dass eine Corona-Infektion für gesunde Kinder keine Gefahr darstellt. </w:t>
      </w:r>
      <w:r w:rsidR="00891087">
        <w:rPr>
          <w:rFonts w:cstheme="minorHAnsi"/>
        </w:rPr>
        <w:t>Und die Mehrheit der Kinder hat sich bereits infiziert</w:t>
      </w:r>
      <w:r w:rsidR="00A1115A">
        <w:rPr>
          <w:rFonts w:cstheme="minorHAnsi"/>
        </w:rPr>
        <w:t xml:space="preserve"> und ist daher immun gegen das Virus</w:t>
      </w:r>
      <w:r w:rsidR="00E04153">
        <w:rPr>
          <w:rFonts w:cstheme="minorHAnsi"/>
        </w:rPr>
        <w:t>, es existiert vermutlich sogar eine sog. „Herdenimmunität“!</w:t>
      </w:r>
      <w:r w:rsidR="00891087">
        <w:rPr>
          <w:rFonts w:cstheme="minorHAnsi"/>
        </w:rPr>
        <w:t xml:space="preserve"> </w:t>
      </w:r>
      <w:r w:rsidR="00902B19">
        <w:rPr>
          <w:rFonts w:cstheme="minorHAnsi"/>
        </w:rPr>
        <w:t xml:space="preserve">Das sagen Sie auf S. 38 dieses Bulletins ja sogar selbst!: </w:t>
      </w:r>
      <w:r w:rsidR="00902B19" w:rsidRPr="00902B19">
        <w:rPr>
          <w:rFonts w:ascii="ScalaPro" w:hAnsi="ScalaPro"/>
          <w:sz w:val="20"/>
          <w:szCs w:val="20"/>
        </w:rPr>
        <w:t>„</w:t>
      </w:r>
      <w:r w:rsidR="00E862EC" w:rsidRPr="00902B19">
        <w:rPr>
          <w:rFonts w:ascii="ScalaPro" w:hAnsi="ScalaPro"/>
          <w:sz w:val="20"/>
          <w:szCs w:val="20"/>
        </w:rPr>
        <w:t xml:space="preserve">SARS-CoV-2-Infektionen verlaufen bei 5 – 11-jährigen Kindern meist mild oder asymptomatisch. Insgesamt wurden bis Mitte April 2022 </w:t>
      </w:r>
      <w:proofErr w:type="spellStart"/>
      <w:r w:rsidR="00E862EC" w:rsidRPr="00902B19">
        <w:rPr>
          <w:rFonts w:ascii="ScalaPro" w:hAnsi="ScalaPro"/>
          <w:sz w:val="20"/>
          <w:szCs w:val="20"/>
        </w:rPr>
        <w:t>für</w:t>
      </w:r>
      <w:proofErr w:type="spellEnd"/>
      <w:r w:rsidR="00E862EC" w:rsidRPr="00902B19">
        <w:rPr>
          <w:rFonts w:ascii="ScalaPro" w:hAnsi="ScalaPro"/>
          <w:sz w:val="20"/>
          <w:szCs w:val="20"/>
        </w:rPr>
        <w:t xml:space="preserve"> fast 50 % aller 5,2 Mio. 5–11-jährigen Kinder in </w:t>
      </w:r>
      <w:r w:rsidR="00E862EC" w:rsidRPr="00902B19">
        <w:rPr>
          <w:rFonts w:ascii="ScalaPro" w:hAnsi="ScalaPro"/>
          <w:sz w:val="20"/>
          <w:szCs w:val="20"/>
        </w:rPr>
        <w:lastRenderedPageBreak/>
        <w:t xml:space="preserve">Deutschland labordiagnostisch nachgewiesene SARS-CoV-2- Infektionen an das RKI </w:t>
      </w:r>
      <w:proofErr w:type="spellStart"/>
      <w:r w:rsidR="00E862EC" w:rsidRPr="00902B19">
        <w:rPr>
          <w:rFonts w:ascii="ScalaPro" w:hAnsi="ScalaPro"/>
          <w:sz w:val="20"/>
          <w:szCs w:val="20"/>
        </w:rPr>
        <w:t>übermittelt</w:t>
      </w:r>
      <w:proofErr w:type="spellEnd"/>
      <w:r w:rsidR="00E862EC" w:rsidRPr="00902B19">
        <w:rPr>
          <w:rFonts w:ascii="ScalaPro" w:hAnsi="ScalaPro"/>
          <w:sz w:val="20"/>
          <w:szCs w:val="20"/>
        </w:rPr>
        <w:t xml:space="preserve">. Aufgrund des hohen Anteils an </w:t>
      </w:r>
      <w:r w:rsidR="00E862EC" w:rsidRPr="00E04153">
        <w:rPr>
          <w:rFonts w:ascii="ScalaPro" w:hAnsi="ScalaPro"/>
          <w:b/>
          <w:bCs/>
          <w:sz w:val="20"/>
          <w:szCs w:val="20"/>
          <w:u w:val="single"/>
        </w:rPr>
        <w:t xml:space="preserve">milden und asymptomatischen </w:t>
      </w:r>
      <w:proofErr w:type="spellStart"/>
      <w:r w:rsidR="00E862EC" w:rsidRPr="00E04153">
        <w:rPr>
          <w:rFonts w:ascii="ScalaPro" w:hAnsi="ScalaPro"/>
          <w:b/>
          <w:bCs/>
          <w:sz w:val="20"/>
          <w:szCs w:val="20"/>
          <w:u w:val="single"/>
        </w:rPr>
        <w:t>Verläufen</w:t>
      </w:r>
      <w:proofErr w:type="spellEnd"/>
      <w:r w:rsidR="00E862EC" w:rsidRPr="00902B19">
        <w:rPr>
          <w:rFonts w:ascii="ScalaPro" w:hAnsi="ScalaPro"/>
          <w:sz w:val="20"/>
          <w:szCs w:val="20"/>
        </w:rPr>
        <w:t xml:space="preserve"> wird eine hohe Dunkelziffer angenommen, so dass in dieser Altersgruppe eine Rate an durchgemachten Infektionen von </w:t>
      </w:r>
      <w:proofErr w:type="spellStart"/>
      <w:r w:rsidR="00E862EC" w:rsidRPr="00E04153">
        <w:rPr>
          <w:rFonts w:ascii="ScalaPro" w:hAnsi="ScalaPro"/>
          <w:b/>
          <w:bCs/>
          <w:sz w:val="20"/>
          <w:szCs w:val="20"/>
          <w:u w:val="single"/>
        </w:rPr>
        <w:t>über</w:t>
      </w:r>
      <w:proofErr w:type="spellEnd"/>
      <w:r w:rsidR="00E862EC" w:rsidRPr="00E04153">
        <w:rPr>
          <w:rFonts w:ascii="ScalaPro" w:hAnsi="ScalaPro"/>
          <w:b/>
          <w:bCs/>
          <w:sz w:val="20"/>
          <w:szCs w:val="20"/>
          <w:u w:val="single"/>
        </w:rPr>
        <w:t xml:space="preserve"> 80 %</w:t>
      </w:r>
      <w:r w:rsidR="00E862EC" w:rsidRPr="00902B19">
        <w:rPr>
          <w:rFonts w:ascii="ScalaPro" w:hAnsi="ScalaPro"/>
          <w:sz w:val="20"/>
          <w:szCs w:val="20"/>
        </w:rPr>
        <w:t xml:space="preserve"> </w:t>
      </w:r>
      <w:proofErr w:type="spellStart"/>
      <w:r w:rsidR="00E862EC" w:rsidRPr="00902B19">
        <w:rPr>
          <w:rFonts w:ascii="ScalaPro" w:hAnsi="ScalaPro"/>
          <w:sz w:val="20"/>
          <w:szCs w:val="20"/>
        </w:rPr>
        <w:t>möglich</w:t>
      </w:r>
      <w:proofErr w:type="spellEnd"/>
      <w:r w:rsidR="00E862EC" w:rsidRPr="00902B19">
        <w:rPr>
          <w:rFonts w:ascii="ScalaPro" w:hAnsi="ScalaPro"/>
          <w:sz w:val="20"/>
          <w:szCs w:val="20"/>
        </w:rPr>
        <w:t xml:space="preserve"> ist.</w:t>
      </w:r>
      <w:r w:rsidR="00902B19" w:rsidRPr="00902B19">
        <w:rPr>
          <w:rFonts w:ascii="ScalaPro" w:hAnsi="ScalaPro"/>
          <w:sz w:val="20"/>
          <w:szCs w:val="20"/>
        </w:rPr>
        <w:t>“</w:t>
      </w:r>
    </w:p>
    <w:p w14:paraId="6006701E" w14:textId="77777777" w:rsidR="00902B19" w:rsidRDefault="00902B19" w:rsidP="00E862EC">
      <w:pPr>
        <w:pStyle w:val="KeinLeerraum"/>
        <w:rPr>
          <w:rFonts w:cstheme="minorHAnsi"/>
        </w:rPr>
      </w:pPr>
    </w:p>
    <w:p w14:paraId="0C57DF52" w14:textId="4640EC18" w:rsidR="00E862EC" w:rsidRDefault="00126111" w:rsidP="006B2C3F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Sie sagen selbst (s. o.), dass es für die Kinder und v. a. Jugendlichen</w:t>
      </w:r>
      <w:r w:rsidR="007A5728">
        <w:rPr>
          <w:rFonts w:cstheme="minorHAnsi"/>
        </w:rPr>
        <w:t xml:space="preserve"> (u. a.)</w:t>
      </w:r>
      <w:r>
        <w:rPr>
          <w:rFonts w:cstheme="minorHAnsi"/>
        </w:rPr>
        <w:t xml:space="preserve"> ein </w:t>
      </w:r>
      <w:proofErr w:type="spellStart"/>
      <w:r>
        <w:rPr>
          <w:rFonts w:cstheme="minorHAnsi"/>
        </w:rPr>
        <w:t>Myokarditisrisiko</w:t>
      </w:r>
      <w:proofErr w:type="spellEnd"/>
      <w:r>
        <w:rPr>
          <w:rFonts w:cstheme="minorHAnsi"/>
        </w:rPr>
        <w:t xml:space="preserve"> gibt. </w:t>
      </w:r>
      <w:r w:rsidR="00E862EC">
        <w:rPr>
          <w:rFonts w:cstheme="minorHAnsi"/>
        </w:rPr>
        <w:t>D</w:t>
      </w:r>
      <w:r>
        <w:rPr>
          <w:rFonts w:cstheme="minorHAnsi"/>
        </w:rPr>
        <w:t>ie Gefahr</w:t>
      </w:r>
      <w:r w:rsidR="00E862EC">
        <w:rPr>
          <w:rFonts w:cstheme="minorHAnsi"/>
        </w:rPr>
        <w:t xml:space="preserve">, durch  eine „Covid-19-Impfung“ einen Schaden zu erleiden, ist für </w:t>
      </w:r>
      <w:r>
        <w:rPr>
          <w:rFonts w:cstheme="minorHAnsi"/>
        </w:rPr>
        <w:t xml:space="preserve">Jugendliche und </w:t>
      </w:r>
      <w:r w:rsidR="00E862EC">
        <w:rPr>
          <w:rFonts w:cstheme="minorHAnsi"/>
        </w:rPr>
        <w:t>Kinder</w:t>
      </w:r>
      <w:r w:rsidR="007A5728">
        <w:rPr>
          <w:rFonts w:cstheme="minorHAnsi"/>
        </w:rPr>
        <w:t xml:space="preserve"> </w:t>
      </w:r>
      <w:r w:rsidR="00E862EC">
        <w:rPr>
          <w:rFonts w:cstheme="minorHAnsi"/>
        </w:rPr>
        <w:t>um ein Vielfaches höher, als das Risiko, das sich aus der Erkrankung ergibt.</w:t>
      </w:r>
      <w:r>
        <w:rPr>
          <w:rFonts w:cstheme="minorHAnsi"/>
        </w:rPr>
        <w:t xml:space="preserve"> Wie kann man angesichts dieser Tatsache gesunden Kindern eine „Impfung“ mit diesen Substanzen empfehlen, zumal Sie für </w:t>
      </w:r>
      <w:proofErr w:type="spellStart"/>
      <w:r>
        <w:rPr>
          <w:rFonts w:cstheme="minorHAnsi"/>
        </w:rPr>
        <w:t>Spikevax</w:t>
      </w:r>
      <w:proofErr w:type="spellEnd"/>
      <w:r>
        <w:rPr>
          <w:rFonts w:cstheme="minorHAnsi"/>
        </w:rPr>
        <w:t xml:space="preserve"> noch nicht einmal die nötigen Daten haben und über die Sicherheit daher noch gar nichts </w:t>
      </w:r>
      <w:r w:rsidR="007A5728">
        <w:rPr>
          <w:rFonts w:cstheme="minorHAnsi"/>
        </w:rPr>
        <w:t>aus</w:t>
      </w:r>
      <w:r>
        <w:rPr>
          <w:rFonts w:cstheme="minorHAnsi"/>
        </w:rPr>
        <w:t xml:space="preserve">sagen können, wie Sie selbst zugeben (s. o.)? </w:t>
      </w:r>
    </w:p>
    <w:p w14:paraId="0C3FD57F" w14:textId="77777777" w:rsidR="00E04153" w:rsidRDefault="00E04153" w:rsidP="00E04153">
      <w:pPr>
        <w:pStyle w:val="Listenabsatz"/>
        <w:rPr>
          <w:rFonts w:cstheme="minorHAnsi"/>
        </w:rPr>
      </w:pPr>
    </w:p>
    <w:p w14:paraId="43AE2EA2" w14:textId="0394D252" w:rsidR="00E04153" w:rsidRDefault="00E04153" w:rsidP="006B2C3F">
      <w:pPr>
        <w:pStyle w:val="KeinLeerraum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Sie sprechen Ihre „Impfempfehlung“ vorsorglich aus. Sollen wir jetzt „vorsorglich“ gegen alle Erkrankungen dieser </w:t>
      </w:r>
      <w:proofErr w:type="spellStart"/>
      <w:r>
        <w:rPr>
          <w:rFonts w:cstheme="minorHAnsi"/>
        </w:rPr>
        <w:t>Welt</w:t>
      </w:r>
      <w:proofErr w:type="spellEnd"/>
      <w:r>
        <w:rPr>
          <w:rFonts w:cstheme="minorHAnsi"/>
        </w:rPr>
        <w:t xml:space="preserve"> Medikamente einnehmen? Wohin soll das führen???</w:t>
      </w:r>
    </w:p>
    <w:p w14:paraId="77715072" w14:textId="77777777" w:rsidR="007A5728" w:rsidRDefault="007A5728" w:rsidP="007A5728">
      <w:pPr>
        <w:pStyle w:val="Listenabsatz"/>
        <w:rPr>
          <w:rFonts w:cstheme="minorHAnsi"/>
        </w:rPr>
      </w:pPr>
    </w:p>
    <w:p w14:paraId="5DDDDC28" w14:textId="5D425314" w:rsidR="00440713" w:rsidRPr="008840D0" w:rsidRDefault="00440713" w:rsidP="008840D0">
      <w:pPr>
        <w:pStyle w:val="KeinLeerraum"/>
        <w:numPr>
          <w:ilvl w:val="0"/>
          <w:numId w:val="1"/>
        </w:numPr>
        <w:rPr>
          <w:rFonts w:cstheme="minorHAnsi"/>
        </w:rPr>
      </w:pPr>
      <w:r w:rsidRPr="007A5728">
        <w:rPr>
          <w:rFonts w:cstheme="minorHAnsi"/>
        </w:rPr>
        <w:t xml:space="preserve">Warum zitieren Sie </w:t>
      </w:r>
      <w:r w:rsidR="00A1115A" w:rsidRPr="007A5728">
        <w:rPr>
          <w:rFonts w:cstheme="minorHAnsi"/>
        </w:rPr>
        <w:t>auf den oben genannten Seiten 17</w:t>
      </w:r>
      <w:r w:rsidR="007A5728">
        <w:rPr>
          <w:rFonts w:cstheme="minorHAnsi"/>
        </w:rPr>
        <w:t xml:space="preserve">-18 </w:t>
      </w:r>
      <w:r w:rsidR="00A1115A" w:rsidRPr="007A5728">
        <w:rPr>
          <w:rFonts w:cstheme="minorHAnsi"/>
        </w:rPr>
        <w:t xml:space="preserve">Ihres Bulletins </w:t>
      </w:r>
      <w:r w:rsidR="007A5728">
        <w:rPr>
          <w:rFonts w:cstheme="minorHAnsi"/>
        </w:rPr>
        <w:t xml:space="preserve">unter der Überschrift „wissenschaftliche Begründungen für die Impfempfehlung“  (s. o.) </w:t>
      </w:r>
      <w:r w:rsidRPr="007A5728">
        <w:rPr>
          <w:rFonts w:cstheme="minorHAnsi"/>
        </w:rPr>
        <w:t xml:space="preserve">nur sich selbst? Wissenschaft besteht aus einem vielfältigen </w:t>
      </w:r>
      <w:r w:rsidR="004D3C31" w:rsidRPr="007A5728">
        <w:rPr>
          <w:rFonts w:cstheme="minorHAnsi"/>
        </w:rPr>
        <w:t xml:space="preserve">und </w:t>
      </w:r>
      <w:r w:rsidR="00A1115A" w:rsidRPr="007A5728">
        <w:rPr>
          <w:rFonts w:cstheme="minorHAnsi"/>
        </w:rPr>
        <w:t>sachlichen</w:t>
      </w:r>
      <w:r w:rsidR="004D3C31" w:rsidRPr="007A5728">
        <w:rPr>
          <w:rFonts w:cstheme="minorHAnsi"/>
        </w:rPr>
        <w:t xml:space="preserve"> </w:t>
      </w:r>
      <w:r w:rsidRPr="007A5728">
        <w:rPr>
          <w:rFonts w:cstheme="minorHAnsi"/>
        </w:rPr>
        <w:t>Diskurs.</w:t>
      </w:r>
      <w:r w:rsidR="004D3C31" w:rsidRPr="007A5728">
        <w:rPr>
          <w:rFonts w:cstheme="minorHAnsi"/>
        </w:rPr>
        <w:t xml:space="preserve"> Sich nur selbst zu zitieren, </w:t>
      </w:r>
      <w:r w:rsidR="00A1115A" w:rsidRPr="007A5728">
        <w:rPr>
          <w:rFonts w:cstheme="minorHAnsi"/>
        </w:rPr>
        <w:t>erscheint</w:t>
      </w:r>
      <w:r w:rsidR="004D3C31" w:rsidRPr="007A5728">
        <w:rPr>
          <w:rFonts w:cstheme="minorHAnsi"/>
        </w:rPr>
        <w:t xml:space="preserve"> in höchstem Maße </w:t>
      </w:r>
      <w:r w:rsidR="00A1115A" w:rsidRPr="007A5728">
        <w:rPr>
          <w:rFonts w:cstheme="minorHAnsi"/>
        </w:rPr>
        <w:t xml:space="preserve">als </w:t>
      </w:r>
      <w:r w:rsidR="004D3C31" w:rsidRPr="007A5728">
        <w:rPr>
          <w:rFonts w:cstheme="minorHAnsi"/>
        </w:rPr>
        <w:t xml:space="preserve">einseitig und subjektiv. </w:t>
      </w:r>
      <w:r w:rsidRPr="007A5728">
        <w:rPr>
          <w:rFonts w:cstheme="minorHAnsi"/>
        </w:rPr>
        <w:t xml:space="preserve">Bitte nennen Sie uns unabhängige wissenschaftliche Studien, die </w:t>
      </w:r>
      <w:r w:rsidR="00A1115A" w:rsidRPr="007A5728">
        <w:rPr>
          <w:rFonts w:cstheme="minorHAnsi"/>
        </w:rPr>
        <w:t xml:space="preserve">geeignet wären, </w:t>
      </w:r>
      <w:r w:rsidRPr="007A5728">
        <w:rPr>
          <w:rFonts w:cstheme="minorHAnsi"/>
        </w:rPr>
        <w:t>Ihre Entscheidung</w:t>
      </w:r>
      <w:r w:rsidR="00A1115A" w:rsidRPr="007A5728">
        <w:rPr>
          <w:rFonts w:cstheme="minorHAnsi"/>
        </w:rPr>
        <w:t xml:space="preserve"> zu</w:t>
      </w:r>
      <w:r w:rsidRPr="007A5728">
        <w:rPr>
          <w:rFonts w:cstheme="minorHAnsi"/>
        </w:rPr>
        <w:t xml:space="preserve"> </w:t>
      </w:r>
      <w:r w:rsidR="007A5728">
        <w:rPr>
          <w:rFonts w:cstheme="minorHAnsi"/>
        </w:rPr>
        <w:t>rechtfertigen</w:t>
      </w:r>
      <w:r w:rsidRPr="007A5728">
        <w:rPr>
          <w:rFonts w:cstheme="minorHAnsi"/>
        </w:rPr>
        <w:t xml:space="preserve">! </w:t>
      </w:r>
      <w:r w:rsidRPr="008840D0">
        <w:rPr>
          <w:rFonts w:cstheme="minorHAnsi"/>
        </w:rPr>
        <w:t xml:space="preserve">Bitte legen Sie offen, welchen Personen und Einrichtungen oder Firmen Sie verpflichtet sind. Können Sie uns Ihre wissenschaftliche Unabhängigkeit garantieren? </w:t>
      </w:r>
      <w:r w:rsidR="001D1042" w:rsidRPr="008840D0">
        <w:rPr>
          <w:rFonts w:cstheme="minorHAnsi"/>
        </w:rPr>
        <w:t xml:space="preserve">Gibt es womöglich Interessenkonflikte? </w:t>
      </w:r>
    </w:p>
    <w:p w14:paraId="7E6EFC8C" w14:textId="02DB77C8" w:rsidR="001D1042" w:rsidRDefault="001D1042" w:rsidP="00D552E0">
      <w:pPr>
        <w:pStyle w:val="KeinLeerraum"/>
        <w:rPr>
          <w:rFonts w:cstheme="minorHAnsi"/>
        </w:rPr>
      </w:pPr>
    </w:p>
    <w:p w14:paraId="388EDCF1" w14:textId="547A12D6" w:rsidR="001D1042" w:rsidRDefault="001D1042" w:rsidP="00D552E0">
      <w:pPr>
        <w:pStyle w:val="KeinLeerraum"/>
        <w:rPr>
          <w:rFonts w:cstheme="minorHAnsi"/>
        </w:rPr>
      </w:pPr>
      <w:r>
        <w:rPr>
          <w:rFonts w:cstheme="minorHAnsi"/>
        </w:rPr>
        <w:t>Mit freundlichem Gruß</w:t>
      </w:r>
    </w:p>
    <w:p w14:paraId="6A317D26" w14:textId="3B32B19C" w:rsidR="008840D0" w:rsidRDefault="008840D0" w:rsidP="00D552E0">
      <w:pPr>
        <w:pStyle w:val="KeinLeerraum"/>
        <w:rPr>
          <w:rFonts w:cstheme="minorHAnsi"/>
        </w:rPr>
      </w:pPr>
      <w:r>
        <w:rPr>
          <w:rFonts w:cstheme="minorHAnsi"/>
        </w:rPr>
        <w:t>Besorgte Eltern und Pädagogen von FreieKinder.org</w:t>
      </w:r>
    </w:p>
    <w:p w14:paraId="22D484F7" w14:textId="4DFDC2A9" w:rsidR="008840D0" w:rsidRDefault="008840D0" w:rsidP="00D552E0">
      <w:pPr>
        <w:pStyle w:val="KeinLeerraum"/>
        <w:rPr>
          <w:rFonts w:cstheme="minorHAnsi"/>
        </w:rPr>
      </w:pPr>
    </w:p>
    <w:p w14:paraId="1B219973" w14:textId="77777777" w:rsidR="008840D0" w:rsidRDefault="008840D0" w:rsidP="00D552E0">
      <w:pPr>
        <w:pStyle w:val="KeinLeerraum"/>
        <w:rPr>
          <w:rFonts w:cstheme="minorHAnsi"/>
        </w:rPr>
      </w:pPr>
    </w:p>
    <w:p w14:paraId="3E430405" w14:textId="77777777" w:rsidR="001D1042" w:rsidRDefault="001D1042" w:rsidP="00D552E0">
      <w:pPr>
        <w:pStyle w:val="KeinLeerraum"/>
        <w:rPr>
          <w:rFonts w:cstheme="minorHAnsi"/>
        </w:rPr>
      </w:pPr>
    </w:p>
    <w:p w14:paraId="03C97850" w14:textId="63193C40" w:rsidR="004D3C31" w:rsidRDefault="004D3C31" w:rsidP="00D552E0">
      <w:pPr>
        <w:pStyle w:val="KeinLeerraum"/>
        <w:rPr>
          <w:rFonts w:cstheme="minorHAnsi"/>
        </w:rPr>
      </w:pPr>
    </w:p>
    <w:p w14:paraId="5A293D03" w14:textId="77777777" w:rsidR="004D3C31" w:rsidRDefault="004D3C31" w:rsidP="00D552E0">
      <w:pPr>
        <w:pStyle w:val="KeinLeerraum"/>
        <w:rPr>
          <w:rFonts w:cstheme="minorHAnsi"/>
        </w:rPr>
      </w:pPr>
    </w:p>
    <w:p w14:paraId="49F8DE5D" w14:textId="77777777" w:rsidR="00440713" w:rsidRDefault="00440713" w:rsidP="00D552E0">
      <w:pPr>
        <w:pStyle w:val="KeinLeerraum"/>
        <w:rPr>
          <w:rFonts w:cstheme="minorHAnsi"/>
        </w:rPr>
      </w:pPr>
    </w:p>
    <w:p w14:paraId="57CE7238" w14:textId="2600AEB4" w:rsidR="00837075" w:rsidRDefault="00837075" w:rsidP="00D552E0">
      <w:pPr>
        <w:pStyle w:val="KeinLeerraum"/>
        <w:rPr>
          <w:rFonts w:cstheme="minorHAnsi"/>
        </w:rPr>
      </w:pPr>
    </w:p>
    <w:p w14:paraId="033AF980" w14:textId="77777777" w:rsidR="00837075" w:rsidRPr="00837075" w:rsidRDefault="00837075" w:rsidP="00D552E0">
      <w:pPr>
        <w:pStyle w:val="KeinLeerraum"/>
        <w:rPr>
          <w:rFonts w:cstheme="minorHAnsi"/>
        </w:rPr>
      </w:pPr>
    </w:p>
    <w:p w14:paraId="1083A45F" w14:textId="77777777" w:rsidR="005440A3" w:rsidRPr="00D552E0" w:rsidRDefault="005440A3" w:rsidP="00D552E0">
      <w:pPr>
        <w:pStyle w:val="KeinLeerraum"/>
        <w:rPr>
          <w:rFonts w:cstheme="minorHAnsi"/>
        </w:rPr>
      </w:pPr>
    </w:p>
    <w:sectPr w:rsidR="005440A3" w:rsidRPr="00D552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ala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85BA1"/>
    <w:multiLevelType w:val="hybridMultilevel"/>
    <w:tmpl w:val="4C6E8AEA"/>
    <w:lvl w:ilvl="0" w:tplc="6DCA3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137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D8D"/>
    <w:rsid w:val="00013D8D"/>
    <w:rsid w:val="000C18BB"/>
    <w:rsid w:val="00126111"/>
    <w:rsid w:val="001D1042"/>
    <w:rsid w:val="00396A28"/>
    <w:rsid w:val="00440713"/>
    <w:rsid w:val="004D3C31"/>
    <w:rsid w:val="005440A3"/>
    <w:rsid w:val="005D2F50"/>
    <w:rsid w:val="006B2C3F"/>
    <w:rsid w:val="006C18D1"/>
    <w:rsid w:val="007142CA"/>
    <w:rsid w:val="007A5728"/>
    <w:rsid w:val="007B7849"/>
    <w:rsid w:val="00837075"/>
    <w:rsid w:val="008840D0"/>
    <w:rsid w:val="00891087"/>
    <w:rsid w:val="00902B19"/>
    <w:rsid w:val="0091649E"/>
    <w:rsid w:val="009B64DF"/>
    <w:rsid w:val="00A1115A"/>
    <w:rsid w:val="00AE76B5"/>
    <w:rsid w:val="00D552E0"/>
    <w:rsid w:val="00E04153"/>
    <w:rsid w:val="00E8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20FC2A"/>
  <w15:chartTrackingRefBased/>
  <w15:docId w15:val="{5621C6F7-29E2-DE4F-8ED5-FDB9671D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142C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440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40A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440A3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142CA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5D2F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einLeerraum">
    <w:name w:val="No Spacing"/>
    <w:uiPriority w:val="1"/>
    <w:qFormat/>
    <w:rsid w:val="00D552E0"/>
  </w:style>
  <w:style w:type="paragraph" w:styleId="Listenabsatz">
    <w:name w:val="List Paragraph"/>
    <w:basedOn w:val="Standard"/>
    <w:uiPriority w:val="34"/>
    <w:qFormat/>
    <w:rsid w:val="007A5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6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6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ki.de/DE/Content/Infekt/EpidBull/Archiv/2022/Ausgaben/21_22.pdf?__blob=publicationFile" TargetMode="External"/><Relationship Id="rId5" Type="http://schemas.openxmlformats.org/officeDocument/2006/relationships/hyperlink" Target="https://www.rki.de/DE/Content/Kommissionen/STIKO/Empfehlungen/PM_2022-05-2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Kessler</dc:creator>
  <cp:keywords/>
  <dc:description/>
  <cp:lastModifiedBy>Regina Kessler</cp:lastModifiedBy>
  <cp:revision>7</cp:revision>
  <cp:lastPrinted>2022-05-30T16:02:00Z</cp:lastPrinted>
  <dcterms:created xsi:type="dcterms:W3CDTF">2022-05-30T15:01:00Z</dcterms:created>
  <dcterms:modified xsi:type="dcterms:W3CDTF">2022-05-31T15:35:00Z</dcterms:modified>
</cp:coreProperties>
</file>